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95" w:rsidRPr="001620D0" w:rsidRDefault="008578D0">
      <w:pPr>
        <w:spacing w:after="72" w:line="260" w:lineRule="auto"/>
        <w:ind w:left="53" w:right="91" w:hanging="10"/>
        <w:jc w:val="center"/>
        <w:rPr>
          <w:b/>
        </w:rPr>
      </w:pPr>
      <w:r w:rsidRPr="001620D0">
        <w:rPr>
          <w:b/>
          <w:sz w:val="26"/>
        </w:rPr>
        <w:t xml:space="preserve">Zarządzenie nr </w:t>
      </w:r>
      <w:r w:rsidR="001620D0" w:rsidRPr="001620D0">
        <w:rPr>
          <w:b/>
          <w:sz w:val="26"/>
        </w:rPr>
        <w:t>1</w:t>
      </w:r>
      <w:r w:rsidRPr="001620D0">
        <w:rPr>
          <w:b/>
          <w:sz w:val="26"/>
        </w:rPr>
        <w:t>/2022</w:t>
      </w:r>
    </w:p>
    <w:p w:rsidR="00ED7395" w:rsidRDefault="008578D0">
      <w:pPr>
        <w:spacing w:after="113" w:line="259" w:lineRule="auto"/>
        <w:ind w:left="0" w:right="48" w:firstLine="0"/>
        <w:jc w:val="center"/>
      </w:pPr>
      <w:r>
        <w:rPr>
          <w:sz w:val="24"/>
        </w:rPr>
        <w:t xml:space="preserve">Dziekana Wydziału </w:t>
      </w:r>
      <w:r w:rsidR="001620D0">
        <w:rPr>
          <w:sz w:val="24"/>
        </w:rPr>
        <w:t>Sztuki</w:t>
      </w:r>
    </w:p>
    <w:p w:rsidR="00ED7395" w:rsidRDefault="008578D0">
      <w:pPr>
        <w:spacing w:after="426" w:line="332" w:lineRule="auto"/>
        <w:ind w:left="3350" w:right="2169" w:hanging="1104"/>
        <w:jc w:val="left"/>
      </w:pPr>
      <w:r>
        <w:rPr>
          <w:sz w:val="24"/>
        </w:rPr>
        <w:t xml:space="preserve">Uniwersytetu Jana Kochanowskiego w Kielcach z dnia </w:t>
      </w:r>
      <w:r w:rsidR="001620D0">
        <w:rPr>
          <w:sz w:val="24"/>
        </w:rPr>
        <w:t>1 czerwca</w:t>
      </w:r>
      <w:r>
        <w:rPr>
          <w:sz w:val="24"/>
        </w:rPr>
        <w:t xml:space="preserve"> 2022 roku</w:t>
      </w:r>
    </w:p>
    <w:p w:rsidR="00ED7395" w:rsidRPr="00E6494D" w:rsidRDefault="008578D0">
      <w:pPr>
        <w:spacing w:after="0" w:line="260" w:lineRule="auto"/>
        <w:ind w:left="53" w:right="43" w:hanging="10"/>
        <w:jc w:val="center"/>
        <w:rPr>
          <w:b/>
          <w:sz w:val="24"/>
          <w:szCs w:val="24"/>
        </w:rPr>
      </w:pPr>
      <w:r w:rsidRPr="00E6494D">
        <w:rPr>
          <w:b/>
          <w:sz w:val="24"/>
          <w:szCs w:val="24"/>
        </w:rPr>
        <w:t>w sprawie szczegółowych form i sposobu weryfikacji efektów uczenia się studentów przyjmowanych w drodze przeniesienia na studia prowadzone na Wydziale</w:t>
      </w:r>
    </w:p>
    <w:p w:rsidR="00ED7395" w:rsidRPr="00E6494D" w:rsidRDefault="001620D0">
      <w:pPr>
        <w:spacing w:after="584" w:line="260" w:lineRule="auto"/>
        <w:ind w:left="53" w:right="62" w:hanging="10"/>
        <w:jc w:val="center"/>
        <w:rPr>
          <w:b/>
          <w:sz w:val="24"/>
          <w:szCs w:val="24"/>
        </w:rPr>
      </w:pPr>
      <w:r w:rsidRPr="00E6494D">
        <w:rPr>
          <w:b/>
          <w:sz w:val="24"/>
          <w:szCs w:val="24"/>
        </w:rPr>
        <w:t>Sztuki</w:t>
      </w:r>
      <w:r w:rsidR="008578D0" w:rsidRPr="00E6494D">
        <w:rPr>
          <w:b/>
          <w:sz w:val="24"/>
          <w:szCs w:val="24"/>
        </w:rPr>
        <w:t xml:space="preserve"> Uniwersytetu Jana Kochanowskiego w Kielcach na podstawie ustawy z dnia </w:t>
      </w:r>
      <w:r w:rsidR="00E6494D">
        <w:rPr>
          <w:b/>
          <w:sz w:val="24"/>
          <w:szCs w:val="24"/>
        </w:rPr>
        <w:br/>
      </w:r>
      <w:r w:rsidR="008578D0" w:rsidRPr="00E6494D">
        <w:rPr>
          <w:b/>
          <w:sz w:val="24"/>
          <w:szCs w:val="24"/>
        </w:rPr>
        <w:t>12 marca 2022 r. o pomocy obywatelom Ukrainy w związku z konfliktem zbrojnym na terytorium tego państwa (Dz. U. z 2022 r. poz. 583 ze zm.)</w:t>
      </w:r>
    </w:p>
    <w:p w:rsidR="00ED7395" w:rsidRDefault="008578D0">
      <w:pPr>
        <w:spacing w:after="304"/>
        <w:ind w:left="23" w:right="23" w:firstLine="701"/>
      </w:pPr>
      <w:r>
        <w:t>Na podstawie art. 45 ustawy z dnia 12 marca 2022 roku o pomocy obywatelom Ukrainy w związku z konfliktem zbrojnym na terytorium tego państwa (Dz. U. z 2022 r. poz. 583 ze zm.), S 93 Statutu Uniwersytetu Jana Kochanowskiego w Kielcach, S 7 ust. 7 Regulaminu Organizacyjnego Uniwersytetu Jana Kochanowskiego w Kielcach, obowiązującego na podstawie zarządzenia nr 168/2021 Rektora Uniwersytetu Jana Kochanowskiego w Kielcach z dnia 16 grudnia 2021 roku oraz S 20 i S 20a Regulaminu studiów Uniwersytetu Jana Kochanowskiego w Kielcach, obowiązującego na podstawie uchwały nr 33/2021 Senatu Uniwersytetu Jana Kochanowskiego w Kielcach z dnia 29 kwietnia 2021 roku (ze zm.) zarządza się, co następuje:</w:t>
      </w:r>
    </w:p>
    <w:p w:rsidR="00E6494D" w:rsidRDefault="00E6494D" w:rsidP="00E6494D">
      <w:pPr>
        <w:spacing w:after="304"/>
        <w:ind w:left="23" w:right="23" w:firstLine="701"/>
        <w:jc w:val="center"/>
      </w:pPr>
      <w:r>
        <w:t>§ 1</w:t>
      </w:r>
    </w:p>
    <w:p w:rsidR="00ED7395" w:rsidRDefault="008578D0">
      <w:pPr>
        <w:ind w:left="311" w:right="23"/>
      </w:pPr>
      <w:r>
        <w:t>I. Obywatel Polski lub obywatel Ukrainy, którego pobyt na terytorium Rzeczypospolitej Polskiej jest uznawany za legalny w rozumieniu art. 2 ust. I ustawy, który był studentem uczelni działającej na terytorium Ukrainy w dniu 24 lutego 2022 r. może być przyjęty na studia w drodze przeniesienia.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>Przyjęcie na studia w drodze przeniesienia może nastąpić, gdy istnieje zbieżność uzyskanych efektów uczenia się z efektami uczenia się obowiązującymi na danym kierunku, umożliwiająca przeniesienie osiągnięć studenta i gdy właściwa Komisja ds. weryfikacji efektów uczenia się, zwana dalej Komisją, stwierdzi, że :</w:t>
      </w:r>
    </w:p>
    <w:p w:rsidR="00ED7395" w:rsidRDefault="008578D0">
      <w:pPr>
        <w:ind w:left="729" w:right="23"/>
      </w:pPr>
      <w:r>
        <w:t>l) student uzyskał zakładane efekty uczenia się oraz zaliczył wszystkie zajęcia przewidziane w danym semestrze/semestrach studiów,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t>organizacja procesu kształcenia na kierunku studiów umożliwia przeniesienie,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t>różnice w zakresie programów studiów mogą być uzupełnione przez studenta w czasie kolejnych semestrów, ale nie później niż do końca studiów.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>Przyjęcie na studia w drodze przeniesienia obywatela Ukrainy następuje na podstawie decyzji administracyjnej rektora. Decyzja, o której mowa w zdaniu poprzednim, określa w szczególności:</w:t>
      </w:r>
    </w:p>
    <w:p w:rsidR="00ED7395" w:rsidRDefault="008578D0">
      <w:pPr>
        <w:ind w:left="451" w:right="23" w:firstLine="0"/>
      </w:pPr>
      <w:r>
        <w:t>l) kierunek, rok, poziom i formę studiów, na które student zostaje przyjęty,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t xml:space="preserve">wykaz zaliczonych zajęć wraz z ocenami i przypisanymi im punktami ECTS, przy czym dla ustalenia przyznanej liczby ECTS przyjmuje się liczbę punktów przypisaną danym efektom uczenia się na Wydziale </w:t>
      </w:r>
      <w:r w:rsidR="001620D0">
        <w:t xml:space="preserve">Sztuki </w:t>
      </w:r>
      <w:r>
        <w:t>Uniwersytetu Jana Kochanowskiego w Kielcach,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t>wykaz różnic programowych lub efektów uczenia się, punktów ECTS oraz godzin zajęć wymagających uzupełnienia oraz termin i sposób ich realizacji, w tym wykaz, wymiar oraz sposób złożenia wymaganych egzaminów albo odbycia uzupełniających praktyk zawodowych,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lastRenderedPageBreak/>
        <w:t>informacje o opłatach za kształcenie obciążających studenta, w tym wysokości i terminie uiszczenia opłat za różnice programowe.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>Projekt decyzji p</w:t>
      </w:r>
      <w:r w:rsidR="00E6494D">
        <w:t>r</w:t>
      </w:r>
      <w:r>
        <w:t>zygotowywany jest przez dziekanat.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>Rektor może wyrazić zgodę na przeniesienie nakładając obowiązek realizacji zajęć w drodze indywidualnej organizacji studiów.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>Niezaliczenie różnic programowych lub efektów uczenia się we wskazany sposób i we wskazanym terminie powoduje konieczność powtarzania roku lub może być podstawą do skreślenia z listy studentów.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>Przyjęcie na studia obywatela polskiego, następuje na podstawie rozstrzygnięcia dziekana. Postanowienia ust. 3-5 stosuje się odpowiednio.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 xml:space="preserve">Odmowa przyjęcia na studia osób, o których mowa w ust. </w:t>
      </w:r>
      <w:r w:rsidR="0097622F">
        <w:t>1</w:t>
      </w:r>
      <w:r>
        <w:t>, następuje w drodze decyzji administracyjnej wydanej przez rektora. Projekt decyzji przygotowuje dziekanat.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 xml:space="preserve">Obywatel Ukrainy będący studentem uczelni działającej na terytorium Ukrainy, który zamierza przenieść się na Wydział </w:t>
      </w:r>
      <w:r w:rsidR="001620D0">
        <w:t>Sztuki</w:t>
      </w:r>
      <w:r>
        <w:t xml:space="preserve"> Uniwersytetu Jana Kochanowskiego w Kielcach jest zobowiązany złożyć wniosek o przeniesienie według wzoru stanowiącego załącznik nr </w:t>
      </w:r>
      <w:r w:rsidR="0097622F">
        <w:t>1</w:t>
      </w:r>
      <w:r>
        <w:t xml:space="preserve"> do przedmiotowego zarządzenia. Wniosek należy złożyć w terminie 14 dni przed rozpoczęciem semestru.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 xml:space="preserve">Obywatel Polski będący studentem uczelni działającej na terytorium Ukrainy, który zamierza przenieść się na Wydział </w:t>
      </w:r>
      <w:r w:rsidR="001620D0">
        <w:t>Sztuki</w:t>
      </w:r>
      <w:r>
        <w:t xml:space="preserve"> Uniwersytetu Jana Kochanowskiego w Kielcach jest zobowiązany złożyć wniosek o przeniesienie według wzoru stanowiącego załącznik nr 2 do przedmiotowego zarządzenia. Wniosek należy złożyć w terminie 14 dni przed rozpoczęciem semestru.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>Student do wniosku, o którym mowa w ust. 9-10, dołącza:</w:t>
      </w:r>
    </w:p>
    <w:p w:rsidR="00ED7395" w:rsidRDefault="00E6494D" w:rsidP="003033F9">
      <w:pPr>
        <w:pStyle w:val="Akapitzlist"/>
        <w:numPr>
          <w:ilvl w:val="1"/>
          <w:numId w:val="1"/>
        </w:numPr>
        <w:ind w:right="23"/>
      </w:pPr>
      <w:r>
        <w:t>wy</w:t>
      </w:r>
      <w:r w:rsidR="008578D0">
        <w:t>pełnioną ankietę osobową, załącznik nr 3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t>kserokopię świadectwa dojrzałości (wraz z oryginałem do wglądu, celem poświadczenia za zgodność przez UJK),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t>dokumentację dotychczasowego przebiegu studiów z uwzględnieniem uzyskanych ocen i liczby punktów ECTS, z podpisem dziekana lub osoby upoważnionej przetłumaczone na język polski lub angielski,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t xml:space="preserve">oświadczenie potwierdzające, że osoba, o której mowa w ust. </w:t>
      </w:r>
      <w:r w:rsidR="0097622F">
        <w:t>1</w:t>
      </w:r>
      <w:r>
        <w:t>, studiowała na uczelni działającej na terytorium Ukrainy; wzór oświadczenia stanowi załącznik nr 4 i nr 5 do przedmiotowego zarządzenia,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t>oświadczenie stwierdzające, że w przypadku przyjęcia na studia na UJK w drodze przeniesienia, student nie będzie kontynuował studiów w uczelni na terytorium Ukrainy; wzór oświadczenia stanowi załącznik nr 6 do przedmiotowego zarządzenia,</w:t>
      </w:r>
    </w:p>
    <w:p w:rsidR="00ED7395" w:rsidRDefault="008578D0">
      <w:pPr>
        <w:numPr>
          <w:ilvl w:val="1"/>
          <w:numId w:val="1"/>
        </w:numPr>
        <w:ind w:right="23" w:hanging="365"/>
      </w:pPr>
      <w:r>
        <w:t>dowód ostatniej opłaty za studia na terenie Ukrainy lub inny dokument pozwalający ustalić jej wysokość, w przypadku studentów przenoszących się na studia niestacjonarne.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 xml:space="preserve">W przypadku braku dokumentów wymienionych w ust. </w:t>
      </w:r>
      <w:r w:rsidR="00E6494D">
        <w:t>11</w:t>
      </w:r>
      <w:r>
        <w:t xml:space="preserve"> pkt. 2-5 lub braku oceny z przedmiotu objętego zaliczeniem lub egzaminem, gdy według standardów kształcenia i/lub programu studiów istnieje wymóg uzyskania oceny, weryfikacja osiągniętych efektów uczenia się następuje w drodze zaliczenia lub egzaminu dla poszczególnych przedmiotów z poszczególnych lat studiów,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5071" name="Picture 5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" name="Picture 50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przedmiotów wiodących i kontynuowanych. Szczegółowe zasady przeprowadzania zaliczenia lub egzaminu określa w tym przypadku nauczyciel akademicki odpowiedzialna za dany przedmiot.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>W przypadku braku dokumentów, o których mowa w ust. 11 pkt 6, naliczana jest pełna odpłatność za studia niestacjonarne.</w:t>
      </w:r>
    </w:p>
    <w:p w:rsidR="00ED7395" w:rsidRDefault="008578D0">
      <w:pPr>
        <w:numPr>
          <w:ilvl w:val="0"/>
          <w:numId w:val="1"/>
        </w:numPr>
        <w:ind w:right="23" w:hanging="336"/>
      </w:pPr>
      <w:r>
        <w:t>Postanowienia ust. 12 stosuje się odpowiednio w odniesieniu do praktyk zawodowych.</w:t>
      </w:r>
    </w:p>
    <w:p w:rsidR="00E6494D" w:rsidRDefault="00E6494D" w:rsidP="00E6494D">
      <w:pPr>
        <w:pStyle w:val="Akapitzlist"/>
        <w:spacing w:after="304"/>
        <w:ind w:left="359" w:right="23" w:firstLine="0"/>
      </w:pPr>
    </w:p>
    <w:p w:rsidR="00E6494D" w:rsidRDefault="00E6494D" w:rsidP="00E6494D">
      <w:pPr>
        <w:pStyle w:val="Akapitzlist"/>
        <w:spacing w:after="304"/>
        <w:ind w:left="359" w:right="23" w:firstLine="0"/>
      </w:pPr>
    </w:p>
    <w:p w:rsidR="00E6494D" w:rsidRDefault="00E6494D" w:rsidP="00E6494D">
      <w:pPr>
        <w:pStyle w:val="Akapitzlist"/>
        <w:spacing w:after="304"/>
        <w:ind w:left="359" w:right="23" w:firstLine="0"/>
      </w:pPr>
    </w:p>
    <w:p w:rsidR="00E6494D" w:rsidRDefault="00E6494D" w:rsidP="00E6494D">
      <w:pPr>
        <w:pStyle w:val="Akapitzlist"/>
        <w:spacing w:after="304"/>
        <w:ind w:left="359" w:right="23" w:firstLine="0"/>
        <w:jc w:val="center"/>
      </w:pPr>
      <w:r>
        <w:lastRenderedPageBreak/>
        <w:t>§</w:t>
      </w:r>
      <w:r>
        <w:t xml:space="preserve"> </w:t>
      </w:r>
      <w:r w:rsidR="00510502">
        <w:t>2</w:t>
      </w:r>
    </w:p>
    <w:p w:rsidR="00E6494D" w:rsidRDefault="00E6494D" w:rsidP="00E6494D">
      <w:pPr>
        <w:ind w:left="359" w:right="23" w:firstLine="0"/>
      </w:pPr>
    </w:p>
    <w:p w:rsidR="00ED7395" w:rsidRDefault="008578D0">
      <w:pPr>
        <w:spacing w:after="26"/>
        <w:ind w:left="311" w:right="23"/>
      </w:pPr>
      <w:r>
        <w:rPr>
          <w:noProof/>
        </w:rPr>
        <w:drawing>
          <wp:inline distT="0" distB="0" distL="0" distR="0">
            <wp:extent cx="79221" cy="103642"/>
            <wp:effectExtent l="0" t="0" r="0" b="0"/>
            <wp:docPr id="15392" name="Picture 15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2" name="Picture 15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21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 celu weryfikacji osiągniętych efektów uczenia się dziekan powołuje Komisję. W skład Komisji wchodzą: prodziekan ds. kształcenia, zastępca dyrektora lub kierownika katedry ds. kształcenia, właściwy dla danego kierunku oraz w razie potrzeby nauczyciel/nauczyciele akademiccy przedmiotów wiodących i kontynuowanych.</w:t>
      </w:r>
    </w:p>
    <w:p w:rsidR="00ED7395" w:rsidRDefault="008578D0">
      <w:pPr>
        <w:numPr>
          <w:ilvl w:val="0"/>
          <w:numId w:val="2"/>
        </w:numPr>
        <w:ind w:right="23"/>
      </w:pPr>
      <w:r>
        <w:t>Do zadań Komisji należy:</w:t>
      </w:r>
    </w:p>
    <w:p w:rsidR="00ED7395" w:rsidRDefault="008578D0">
      <w:pPr>
        <w:ind w:left="384" w:right="23" w:firstLine="0"/>
      </w:pPr>
      <w:r>
        <w:t>I) weryfikacja przedłożonych dokumentów,</w:t>
      </w:r>
    </w:p>
    <w:p w:rsidR="00ED7395" w:rsidRDefault="008578D0">
      <w:pPr>
        <w:numPr>
          <w:ilvl w:val="1"/>
          <w:numId w:val="2"/>
        </w:numPr>
        <w:ind w:right="23" w:hanging="355"/>
      </w:pPr>
      <w:r>
        <w:t>weryfikacja osiągniętych efektów uczenia się,</w:t>
      </w:r>
    </w:p>
    <w:p w:rsidR="00ED7395" w:rsidRDefault="008578D0">
      <w:pPr>
        <w:numPr>
          <w:ilvl w:val="1"/>
          <w:numId w:val="2"/>
        </w:numPr>
        <w:ind w:right="23" w:hanging="355"/>
      </w:pPr>
      <w:r>
        <w:t>określenie różnic programowych do wyrównania,</w:t>
      </w:r>
    </w:p>
    <w:p w:rsidR="00ED7395" w:rsidRDefault="008578D0">
      <w:pPr>
        <w:numPr>
          <w:ilvl w:val="1"/>
          <w:numId w:val="2"/>
        </w:numPr>
        <w:ind w:right="23" w:hanging="355"/>
      </w:pPr>
      <w:r>
        <w:t xml:space="preserve">określenie sposobu weryfikacji efektów uczenia się w przypadku braku dokumentów, o których mowa w </w:t>
      </w:r>
      <w:r w:rsidR="00E6494D">
        <w:t>§</w:t>
      </w:r>
      <w:r>
        <w:t xml:space="preserve"> </w:t>
      </w:r>
      <w:r w:rsidR="00E6494D">
        <w:t>1</w:t>
      </w:r>
      <w:r>
        <w:t xml:space="preserve"> ust. </w:t>
      </w:r>
      <w:r w:rsidR="00510502">
        <w:t>11</w:t>
      </w:r>
      <w:r>
        <w:t xml:space="preserve"> pkt 2-3.</w:t>
      </w:r>
    </w:p>
    <w:p w:rsidR="00ED7395" w:rsidRDefault="008578D0">
      <w:pPr>
        <w:numPr>
          <w:ilvl w:val="0"/>
          <w:numId w:val="2"/>
        </w:numPr>
        <w:ind w:right="23"/>
      </w:pPr>
      <w:r>
        <w:t>W wyniku przeprowadzonej weryfikacji osiągniętych efektów uczenia się Komisja może w szczególności:</w:t>
      </w:r>
    </w:p>
    <w:p w:rsidR="00ED7395" w:rsidRDefault="008578D0">
      <w:pPr>
        <w:ind w:left="403" w:right="23" w:firstLine="0"/>
      </w:pPr>
      <w:r>
        <w:t>l) uznać osiągnięte efekty uczenia się w uczelni na Ukrainie, na której studiował student,</w:t>
      </w:r>
    </w:p>
    <w:p w:rsidR="00ED7395" w:rsidRDefault="008578D0">
      <w:pPr>
        <w:numPr>
          <w:ilvl w:val="1"/>
          <w:numId w:val="2"/>
        </w:numPr>
        <w:spacing w:after="25"/>
        <w:ind w:right="23" w:hanging="355"/>
      </w:pPr>
      <w:r>
        <w:t>zobowiązać osobę ubiegającą się do przyjęcia na studia w drodze przeniesienia do zaliczenia przed przyjęciem na studia przedmiotu na ocenę, w przypadku braku oceny z przedmiotu objętego zaliczeniem na ocenę zgodnie ze standardami kształcenia lub/i programem studiów,</w:t>
      </w:r>
    </w:p>
    <w:p w:rsidR="00ED7395" w:rsidRDefault="008578D0">
      <w:pPr>
        <w:numPr>
          <w:ilvl w:val="1"/>
          <w:numId w:val="2"/>
        </w:numPr>
        <w:spacing w:after="26"/>
        <w:ind w:right="23" w:hanging="355"/>
      </w:pPr>
      <w:r>
        <w:t>zobowiązać osobę ubiegającą się do przyjęcia na studia w drodze przeniesienia do przystąpienia do egzaminu przed przyjęciem na studia, w przypadku braku oceny z przedmiotu objętego egzaminem zgodnie ze standardami kształcenia i/lub programem studiów,</w:t>
      </w:r>
    </w:p>
    <w:p w:rsidR="00ED7395" w:rsidRDefault="008578D0">
      <w:pPr>
        <w:numPr>
          <w:ilvl w:val="1"/>
          <w:numId w:val="2"/>
        </w:numPr>
        <w:spacing w:after="35"/>
        <w:ind w:right="23" w:hanging="355"/>
      </w:pPr>
      <w:r>
        <w:t>zobowiązać osobę ubiegającą się do przyjęcia na studia w drodze przeniesienia do przystąpienia przed przyjęciem na studia do zaliczenia na ocenę z danego przedmiotu, przystąpienie studenta do egzaminu z danego przedmiotu, jeżeli z przedłożonej dokumentacji lub oświadczenia studenta wynika, że student nie zrealizował w uczelni ukraińskiej przedmiotu objętego standardami kształcenia lub/i programem studiów,</w:t>
      </w:r>
    </w:p>
    <w:p w:rsidR="00ED7395" w:rsidRDefault="008578D0">
      <w:pPr>
        <w:numPr>
          <w:ilvl w:val="1"/>
          <w:numId w:val="2"/>
        </w:numPr>
        <w:ind w:right="23" w:hanging="355"/>
      </w:pPr>
      <w:r>
        <w:t>zobowiązać studenta do realizacji praktyki zawodowej w określonym terminie.</w:t>
      </w:r>
    </w:p>
    <w:p w:rsidR="00ED7395" w:rsidRDefault="008578D0">
      <w:pPr>
        <w:numPr>
          <w:ilvl w:val="0"/>
          <w:numId w:val="2"/>
        </w:numPr>
        <w:spacing w:after="29"/>
        <w:ind w:right="23"/>
      </w:pPr>
      <w:r>
        <w:t xml:space="preserve">W szczególnie uzasadnionych przypadkach Komisja może wskazać inny niż określony w ust. 3 pkt 2-5 sposób działania, zgodny z </w:t>
      </w:r>
      <w:r w:rsidR="00E6494D">
        <w:t>§</w:t>
      </w:r>
      <w:r>
        <w:t xml:space="preserve"> 20a ust. 2 Regulaminu Studiów UJK, umożliwiający uznanie określonych okresów studiów i efektów uczenia się.</w:t>
      </w:r>
    </w:p>
    <w:p w:rsidR="00ED7395" w:rsidRDefault="008578D0">
      <w:pPr>
        <w:numPr>
          <w:ilvl w:val="0"/>
          <w:numId w:val="2"/>
        </w:numPr>
        <w:spacing w:after="40"/>
        <w:ind w:right="23"/>
      </w:pPr>
      <w:r>
        <w:t>Wynik egzaminu lub zaliczenia jest wiążący dla rektora lub dziekana zarówno co do samego przyjęcia na studia, jak i kierunku, roku, poziomu studiów oraz zaliczonych zajęć, ocen i przyznanych punktów ECTS.</w:t>
      </w:r>
    </w:p>
    <w:p w:rsidR="00ED7395" w:rsidRDefault="008578D0">
      <w:pPr>
        <w:numPr>
          <w:ilvl w:val="0"/>
          <w:numId w:val="2"/>
        </w:numPr>
        <w:spacing w:after="31"/>
        <w:ind w:right="23"/>
      </w:pPr>
      <w:r>
        <w:t>Z czynności weryfikacji efektów uczenia się Komisja sporządza pisemną dokumentację, która stanowi podstawę wydania decyzji przez rektora lub rozstrzygnięcia przez dziekana.</w:t>
      </w:r>
    </w:p>
    <w:p w:rsidR="00ED7395" w:rsidRDefault="008578D0">
      <w:pPr>
        <w:numPr>
          <w:ilvl w:val="0"/>
          <w:numId w:val="2"/>
        </w:numPr>
        <w:ind w:right="23"/>
      </w:pPr>
      <w:r>
        <w:t xml:space="preserve">Przyjęcie na studia obywatela Ukrainy, o którym mowa w </w:t>
      </w:r>
      <w:r w:rsidR="00E6494D">
        <w:t>§ 1</w:t>
      </w:r>
      <w:r>
        <w:t xml:space="preserve"> ust. </w:t>
      </w:r>
      <w:r w:rsidR="00E6494D">
        <w:t>1</w:t>
      </w:r>
      <w:r>
        <w:t>, może nastąpić w przypadku wykazania znajomości języka, w którym prowadzone są studia (polskiego lub angielskiego), tj.:</w:t>
      </w:r>
    </w:p>
    <w:p w:rsidR="00ED7395" w:rsidRDefault="008578D0">
      <w:pPr>
        <w:ind w:left="758" w:right="23" w:hanging="336"/>
      </w:pPr>
      <w:r>
        <w:t>l) przedłożenie certyfikatu znajomości języka polskiego wydanego przez Państwową Komisję Poświadczania Znajomości Języka Polskiego jako Obcego, lub</w:t>
      </w:r>
    </w:p>
    <w:p w:rsidR="00ED7395" w:rsidRDefault="008578D0">
      <w:pPr>
        <w:numPr>
          <w:ilvl w:val="1"/>
          <w:numId w:val="2"/>
        </w:numPr>
        <w:ind w:right="23" w:hanging="355"/>
      </w:pPr>
      <w:r>
        <w:t xml:space="preserve">przedłożenie dokumentu potwierdzający zakończenie rocznego kursu przygotowawczego do podjęcia nauki w języku polskim w jednostkach </w:t>
      </w:r>
      <w:r w:rsidR="00A357CF">
        <w:t>wy</w:t>
      </w:r>
      <w:r>
        <w:t>znaczonych przez ministra właściwego do spraw szkolnictwa wyższego, lub</w:t>
      </w:r>
    </w:p>
    <w:p w:rsidR="00ED7395" w:rsidRDefault="008578D0">
      <w:pPr>
        <w:numPr>
          <w:ilvl w:val="1"/>
          <w:numId w:val="2"/>
        </w:numPr>
        <w:spacing w:after="28"/>
        <w:ind w:right="23" w:hanging="355"/>
      </w:pPr>
      <w:r>
        <w:t>potwierdzenie znajomości języka polskiego wydane przez Komisję ds. Znajomości Języka Polskiego powołaną przez rektora na podstawie odrębnych przepisów, lub</w:t>
      </w:r>
    </w:p>
    <w:p w:rsidR="00ED7395" w:rsidRDefault="008578D0">
      <w:pPr>
        <w:numPr>
          <w:ilvl w:val="1"/>
          <w:numId w:val="2"/>
        </w:numPr>
        <w:ind w:right="23" w:hanging="355"/>
      </w:pPr>
      <w:r>
        <w:lastRenderedPageBreak/>
        <w:t>przełożenie dokumentu (certyfikatu) potwierdzającego znajomość języka angielskiego na odpowiednim poziomie lub uzyskanie pozytywnego wyniku z egzaminu z języka angielskiego przeprowadzonego przez Komisję.</w:t>
      </w:r>
    </w:p>
    <w:p w:rsidR="00ED7395" w:rsidRDefault="008578D0">
      <w:pPr>
        <w:numPr>
          <w:ilvl w:val="0"/>
          <w:numId w:val="2"/>
        </w:numPr>
        <w:spacing w:after="450"/>
        <w:ind w:right="23"/>
      </w:pPr>
      <w:r>
        <w:t xml:space="preserve">Obowiązek przedłożenia </w:t>
      </w:r>
      <w:r w:rsidR="00B81906">
        <w:t>dokumentów</w:t>
      </w:r>
      <w:r>
        <w:t>, o których mowa w ust. 7, nie dotyczy osób, które przedłożą dyplom ukończenia studiów wyższych lub świadectwo dojrzałości uzyskane w Polsce.</w:t>
      </w:r>
    </w:p>
    <w:p w:rsidR="00E6494D" w:rsidRDefault="00E6494D" w:rsidP="00E6494D">
      <w:pPr>
        <w:pStyle w:val="Akapitzlist"/>
        <w:spacing w:after="304"/>
        <w:ind w:left="311" w:right="23" w:firstLine="0"/>
        <w:jc w:val="center"/>
      </w:pPr>
      <w:r>
        <w:t>§</w:t>
      </w:r>
      <w:r>
        <w:t xml:space="preserve"> 3</w:t>
      </w:r>
    </w:p>
    <w:p w:rsidR="00E6494D" w:rsidRDefault="00E6494D" w:rsidP="00E6494D">
      <w:pPr>
        <w:spacing w:after="450"/>
        <w:ind w:left="311" w:right="23" w:firstLine="0"/>
      </w:pPr>
    </w:p>
    <w:p w:rsidR="00ED7395" w:rsidRDefault="008578D0">
      <w:pPr>
        <w:spacing w:after="466"/>
        <w:ind w:left="23" w:right="23" w:firstLine="10"/>
      </w:pPr>
      <w:r>
        <w:t>W sprawach nieuregulowanych niniejszym zarządzeniem stosuje się przepisy Regulaminu studiów UJK.</w:t>
      </w:r>
    </w:p>
    <w:p w:rsidR="00E6494D" w:rsidRDefault="00E6494D" w:rsidP="00E6494D">
      <w:pPr>
        <w:pStyle w:val="Akapitzlist"/>
        <w:spacing w:after="304"/>
        <w:ind w:left="311" w:right="23" w:firstLine="0"/>
        <w:jc w:val="center"/>
      </w:pPr>
      <w:r>
        <w:t>§</w:t>
      </w:r>
      <w:r>
        <w:t xml:space="preserve"> 4</w:t>
      </w:r>
    </w:p>
    <w:p w:rsidR="00E6494D" w:rsidRDefault="00E6494D">
      <w:pPr>
        <w:spacing w:after="466"/>
        <w:ind w:left="23" w:right="23" w:firstLine="10"/>
      </w:pPr>
    </w:p>
    <w:p w:rsidR="00ED7395" w:rsidRDefault="008578D0">
      <w:pPr>
        <w:spacing w:after="2154"/>
        <w:ind w:left="23" w:right="23" w:firstLine="0"/>
      </w:pPr>
      <w:r>
        <w:t>Zarządzenie wchodzi w życie z dniem podpisania.</w:t>
      </w:r>
    </w:p>
    <w:p w:rsidR="00ED7395" w:rsidRDefault="00ED7395">
      <w:pPr>
        <w:spacing w:after="0" w:line="259" w:lineRule="auto"/>
        <w:ind w:left="0" w:right="144" w:firstLine="0"/>
        <w:jc w:val="right"/>
      </w:pPr>
      <w:bookmarkStart w:id="0" w:name="_GoBack"/>
      <w:bookmarkEnd w:id="0"/>
    </w:p>
    <w:p w:rsidR="00ED7395" w:rsidRDefault="00ED7395">
      <w:pPr>
        <w:spacing w:after="0" w:line="259" w:lineRule="auto"/>
        <w:ind w:left="6171" w:right="0" w:firstLine="0"/>
        <w:jc w:val="left"/>
      </w:pPr>
    </w:p>
    <w:sectPr w:rsidR="00ED7395">
      <w:pgSz w:w="11900" w:h="16840"/>
      <w:pgMar w:top="1383" w:right="1440" w:bottom="1555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7BA4"/>
    <w:multiLevelType w:val="hybridMultilevel"/>
    <w:tmpl w:val="97EA6588"/>
    <w:lvl w:ilvl="0" w:tplc="0F127DA6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08B38">
      <w:start w:val="1"/>
      <w:numFmt w:val="decimal"/>
      <w:lvlText w:val="%2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CA61E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6615C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E8C0A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6FDA4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F20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45874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43FB2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B2A03"/>
    <w:multiLevelType w:val="hybridMultilevel"/>
    <w:tmpl w:val="C118396E"/>
    <w:lvl w:ilvl="0" w:tplc="1B7020E2">
      <w:start w:val="1"/>
      <w:numFmt w:val="upperRoman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D181204"/>
    <w:multiLevelType w:val="hybridMultilevel"/>
    <w:tmpl w:val="C9623B50"/>
    <w:lvl w:ilvl="0" w:tplc="C6289E06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E9F64">
      <w:start w:val="2"/>
      <w:numFmt w:val="decimal"/>
      <w:lvlText w:val="%2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0EB1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25C5A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197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02EDE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6D364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4C8DA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62540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95"/>
    <w:rsid w:val="001620D0"/>
    <w:rsid w:val="003033F9"/>
    <w:rsid w:val="00510502"/>
    <w:rsid w:val="00572D99"/>
    <w:rsid w:val="005C1729"/>
    <w:rsid w:val="008578D0"/>
    <w:rsid w:val="0097622F"/>
    <w:rsid w:val="00A357CF"/>
    <w:rsid w:val="00B81906"/>
    <w:rsid w:val="00E6494D"/>
    <w:rsid w:val="00ED7395"/>
    <w:rsid w:val="00F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41D90"/>
  <w15:docId w15:val="{4C83154D-94F2-460A-AD2B-D75CFD4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70" w:lineRule="auto"/>
      <w:ind w:left="326" w:right="38" w:hanging="28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E6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Ewa Starz</dc:creator>
  <cp:keywords/>
  <cp:lastModifiedBy>Anna Migaszewska</cp:lastModifiedBy>
  <cp:revision>9</cp:revision>
  <cp:lastPrinted>2022-06-21T07:41:00Z</cp:lastPrinted>
  <dcterms:created xsi:type="dcterms:W3CDTF">2022-06-01T11:00:00Z</dcterms:created>
  <dcterms:modified xsi:type="dcterms:W3CDTF">2022-06-21T07:55:00Z</dcterms:modified>
</cp:coreProperties>
</file>