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74E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F1EFA05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526A5075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18"/>
          <w:szCs w:val="18"/>
        </w:rPr>
      </w:pPr>
    </w:p>
    <w:p w14:paraId="539D6CA6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/>
          <w:b/>
          <w:color w:val="000000"/>
          <w:sz w:val="17"/>
          <w:szCs w:val="17"/>
        </w:rPr>
        <w:t>DESCRIPTION OF THE COURSE OF STUDY</w:t>
      </w:r>
    </w:p>
    <w:p w14:paraId="595DF578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Style w:val="a"/>
        <w:tblW w:w="93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31"/>
      </w:tblGrid>
      <w:tr w:rsidR="00524F20" w14:paraId="7C20207F" w14:textId="77777777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DC4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Cours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567E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 xml:space="preserve">                             </w:t>
            </w:r>
          </w:p>
        </w:tc>
      </w:tr>
      <w:tr w:rsidR="00524F20" w14:paraId="661D68C8" w14:textId="77777777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939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in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A74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Polish</w:t>
            </w:r>
            <w:proofErr w:type="spellEnd"/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04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Zespół instrumentalny Big band</w:t>
            </w:r>
          </w:p>
        </w:tc>
      </w:tr>
      <w:tr w:rsidR="00524F20" w14:paraId="62717D0E" w14:textId="77777777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BFD0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04B6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9B2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Big Band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ensemble</w:t>
            </w:r>
          </w:p>
        </w:tc>
      </w:tr>
    </w:tbl>
    <w:p w14:paraId="36D77F24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43567FE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1. LOCATION OF THE COURSE OF STUDY WITHIN THE SYSTEM OF STUDIES</w:t>
      </w: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5164"/>
      </w:tblGrid>
      <w:tr w:rsidR="00524F20" w14:paraId="638E1D9D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B9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1.1. Field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6E8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the field of musical art</w:t>
            </w:r>
          </w:p>
        </w:tc>
      </w:tr>
      <w:tr w:rsidR="00524F20" w14:paraId="094054B6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17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1.2.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AF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Full-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524F20" w14:paraId="3F375EEE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717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1.3. Level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6D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Master's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degree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524F20" w14:paraId="18CB83E2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AEB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1.4. Profile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60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academic</w:t>
            </w:r>
            <w:proofErr w:type="spellEnd"/>
          </w:p>
        </w:tc>
      </w:tr>
      <w:tr w:rsidR="00524F20" w14:paraId="521E95C5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31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1.5. Person/s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preparing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F55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Piotr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Sitkowski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M.A.</w:t>
            </w:r>
          </w:p>
        </w:tc>
      </w:tr>
      <w:tr w:rsidR="00524F20" w14:paraId="2E35CD00" w14:textId="77777777">
        <w:trPr>
          <w:trHeight w:val="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82E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1.6.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32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peter.sitkowski@gmail.com</w:t>
            </w:r>
          </w:p>
        </w:tc>
      </w:tr>
    </w:tbl>
    <w:p w14:paraId="61063444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4610088B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2. GENERAL CHARACTERISTICS OF THE COURSE OF STUDY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5120"/>
      </w:tblGrid>
      <w:tr w:rsidR="00524F20" w14:paraId="3FDB32AD" w14:textId="77777777">
        <w:trPr>
          <w:trHeight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8F4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2.1. Language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F1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Polish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/English</w:t>
            </w:r>
          </w:p>
        </w:tc>
      </w:tr>
      <w:tr w:rsidR="00524F20" w14:paraId="7C89B96A" w14:textId="77777777">
        <w:trPr>
          <w:trHeight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83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2.2.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Prerequisites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03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Not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required</w:t>
            </w:r>
            <w:proofErr w:type="spellEnd"/>
          </w:p>
        </w:tc>
      </w:tr>
    </w:tbl>
    <w:p w14:paraId="4A9B0820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8938DC4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3. DETAILED CHARACTERISTICS OF THE COURSE OF STUDY</w:t>
      </w:r>
    </w:p>
    <w:tbl>
      <w:tblPr>
        <w:tblStyle w:val="a2"/>
        <w:tblW w:w="9921" w:type="dxa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6235"/>
      </w:tblGrid>
      <w:tr w:rsidR="00524F20" w14:paraId="71DA37BC" w14:textId="77777777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5F63" w14:textId="77777777" w:rsidR="00524F20" w:rsidRDefault="009A06C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21D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120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(30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semester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3-6)</w:t>
            </w:r>
          </w:p>
        </w:tc>
      </w:tr>
      <w:tr w:rsidR="00524F20" w14:paraId="5455695B" w14:textId="77777777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B53" w14:textId="77777777" w:rsidR="00524F20" w:rsidRDefault="009A06C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Place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5BE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carried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teaching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rooms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chair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music</w:t>
            </w:r>
            <w:proofErr w:type="spellEnd"/>
          </w:p>
        </w:tc>
      </w:tr>
      <w:tr w:rsidR="00524F20" w14:paraId="2C96190E" w14:textId="77777777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EC0" w14:textId="77777777" w:rsidR="00524F20" w:rsidRDefault="009A06C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BA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semester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3-6)</w:t>
            </w:r>
          </w:p>
        </w:tc>
      </w:tr>
      <w:tr w:rsidR="00524F20" w14:paraId="5A04E7DF" w14:textId="77777777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ECA7" w14:textId="77777777" w:rsidR="00524F20" w:rsidRDefault="009A06C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Teaching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FD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Feeding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instruction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explanation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description</w:t>
            </w:r>
            <w:proofErr w:type="spellEnd"/>
          </w:p>
          <w:p w14:paraId="6F152EC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subject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exercises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demonstration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demonstration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explanation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demonstration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instruction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didactic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workshops</w:t>
            </w:r>
            <w:proofErr w:type="spellEnd"/>
          </w:p>
          <w:p w14:paraId="1AAF816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Exposing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demonstration</w:t>
            </w:r>
            <w:proofErr w:type="spellEnd"/>
          </w:p>
        </w:tc>
      </w:tr>
      <w:tr w:rsidR="00524F20" w14:paraId="270DF3CF" w14:textId="77777777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579" w14:textId="77777777" w:rsidR="00524F20" w:rsidRDefault="009A06C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Bibliography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62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Required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16D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Big band:</w:t>
            </w:r>
          </w:p>
          <w:p w14:paraId="49D9FA1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J. Glenc, Jazz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, Katowice 2015.</w:t>
            </w:r>
          </w:p>
          <w:p w14:paraId="4A5B2E5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A. Schmidt, Jazz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History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, Lublin 2009.</w:t>
            </w:r>
          </w:p>
        </w:tc>
      </w:tr>
      <w:tr w:rsidR="00524F20" w14:paraId="6CCEDEA7" w14:textId="77777777">
        <w:trPr>
          <w:cantSplit/>
          <w:trHeight w:val="28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201E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98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Further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F5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Big band:</w:t>
            </w:r>
          </w:p>
          <w:p w14:paraId="4C2209C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A. Zubek, General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rules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big-band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arrangement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, Katowice 2013.</w:t>
            </w:r>
          </w:p>
          <w:p w14:paraId="50DDECB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J. Glenc,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Instrument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studies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introductory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orchestration,Katowice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2015.</w:t>
            </w:r>
          </w:p>
        </w:tc>
      </w:tr>
    </w:tbl>
    <w:p w14:paraId="57409305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63550573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4. OBJECTIVES, SYLLABUS CONTENT AND INTENDED LEARNING OUTCOMES</w:t>
      </w:r>
    </w:p>
    <w:tbl>
      <w:tblPr>
        <w:tblStyle w:val="a3"/>
        <w:tblW w:w="9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524F20" w14:paraId="294EB84F" w14:textId="77777777">
        <w:trPr>
          <w:trHeight w:val="70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EF66D" w14:textId="77777777" w:rsidR="00524F20" w:rsidRDefault="009A06C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objectives</w:t>
            </w:r>
            <w:proofErr w:type="spellEnd"/>
          </w:p>
          <w:p w14:paraId="6C0091C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Knowledge: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getting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repertoire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ensembles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14:paraId="6CE58BD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: developing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the field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musicians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groups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various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settings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14:paraId="3D33477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Competences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using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acquired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experience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pedagogical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children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youth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schools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cultural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institutions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349AA9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Preparing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independent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activity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C23826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Developing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ability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think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creatively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creatively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solving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problems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24F20" w14:paraId="409DA959" w14:textId="77777777">
        <w:trPr>
          <w:trHeight w:val="7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129" w14:textId="77777777" w:rsidR="00524F20" w:rsidRDefault="009A06C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content</w:t>
            </w:r>
            <w:proofErr w:type="spellEnd"/>
          </w:p>
          <w:p w14:paraId="6E5F102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the field of </w:t>
            </w:r>
            <w:r>
              <w:rPr>
                <w:rFonts w:eastAsia="Times New Roman" w:cs="Times New Roman"/>
                <w:sz w:val="18"/>
                <w:szCs w:val="18"/>
              </w:rPr>
              <w:t>ensemble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music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  <w:p w14:paraId="4FFB955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ensemble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14:paraId="019CF71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analysis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scores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terms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performance and style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their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application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14:paraId="7DC0B21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building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right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background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14:paraId="647D93D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Initiating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'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creativity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part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original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arrangements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ensembles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7B769A0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0006241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79C60B63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DAFC283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AC5E4A6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4E16B9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46E9CEBB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2ACC955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9B47CD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6C2668CC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tbl>
      <w:tblPr>
        <w:tblStyle w:val="a4"/>
        <w:tblW w:w="9938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511"/>
        <w:gridCol w:w="1701"/>
      </w:tblGrid>
      <w:tr w:rsidR="00524F20" w14:paraId="4A32F2BB" w14:textId="77777777">
        <w:trPr>
          <w:trHeight w:val="132"/>
        </w:trPr>
        <w:tc>
          <w:tcPr>
            <w:tcW w:w="9938" w:type="dxa"/>
            <w:gridSpan w:val="3"/>
          </w:tcPr>
          <w:p w14:paraId="188F3D64" w14:textId="77777777" w:rsidR="00524F20" w:rsidRDefault="009A06C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Intended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outcomes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F20" w14:paraId="6F3546B3" w14:textId="77777777">
        <w:trPr>
          <w:trHeight w:val="373"/>
        </w:trPr>
        <w:tc>
          <w:tcPr>
            <w:tcW w:w="726" w:type="dxa"/>
          </w:tcPr>
          <w:p w14:paraId="1F96BBC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Efekts</w:t>
            </w:r>
            <w:proofErr w:type="spellEnd"/>
          </w:p>
        </w:tc>
        <w:tc>
          <w:tcPr>
            <w:tcW w:w="7511" w:type="dxa"/>
          </w:tcPr>
          <w:p w14:paraId="74ADFAC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A student,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who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passed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701" w:type="dxa"/>
          </w:tcPr>
          <w:p w14:paraId="517ACDC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Relation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to learning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</w:tr>
      <w:tr w:rsidR="00524F20" w14:paraId="7FD19FD7" w14:textId="77777777">
        <w:trPr>
          <w:trHeight w:val="70"/>
        </w:trPr>
        <w:tc>
          <w:tcPr>
            <w:tcW w:w="8237" w:type="dxa"/>
            <w:gridSpan w:val="2"/>
          </w:tcPr>
          <w:p w14:paraId="69E6211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KNOWLEDGE:</w:t>
            </w:r>
          </w:p>
        </w:tc>
        <w:tc>
          <w:tcPr>
            <w:tcW w:w="1701" w:type="dxa"/>
          </w:tcPr>
          <w:p w14:paraId="3C901DB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58A5C4BF" w14:textId="77777777">
        <w:trPr>
          <w:trHeight w:val="57"/>
        </w:trPr>
        <w:tc>
          <w:tcPr>
            <w:tcW w:w="726" w:type="dxa"/>
          </w:tcPr>
          <w:p w14:paraId="27EE068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W01</w:t>
            </w:r>
          </w:p>
        </w:tc>
        <w:tc>
          <w:tcPr>
            <w:tcW w:w="7511" w:type="dxa"/>
          </w:tcPr>
          <w:p w14:paraId="717E040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understands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principles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the field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playing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  <w:p w14:paraId="0A6E1C60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3447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EDUM1A_W01</w:t>
            </w:r>
          </w:p>
        </w:tc>
      </w:tr>
      <w:tr w:rsidR="00524F20" w14:paraId="57B5CBB4" w14:textId="77777777">
        <w:trPr>
          <w:trHeight w:val="57"/>
        </w:trPr>
        <w:tc>
          <w:tcPr>
            <w:tcW w:w="726" w:type="dxa"/>
          </w:tcPr>
          <w:p w14:paraId="6A79AC7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W02</w:t>
            </w:r>
          </w:p>
        </w:tc>
        <w:tc>
          <w:tcPr>
            <w:tcW w:w="7511" w:type="dxa"/>
          </w:tcPr>
          <w:p w14:paraId="58DA9D0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understands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rules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expression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workshop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playing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55C73E8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EDUM1A_W02</w:t>
            </w:r>
          </w:p>
        </w:tc>
      </w:tr>
      <w:tr w:rsidR="00524F20" w14:paraId="1AC38803" w14:textId="77777777">
        <w:trPr>
          <w:trHeight w:val="57"/>
        </w:trPr>
        <w:tc>
          <w:tcPr>
            <w:tcW w:w="726" w:type="dxa"/>
          </w:tcPr>
          <w:p w14:paraId="7454A75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W03</w:t>
            </w:r>
          </w:p>
        </w:tc>
        <w:tc>
          <w:tcPr>
            <w:tcW w:w="7511" w:type="dxa"/>
          </w:tcPr>
          <w:p w14:paraId="6EA54EA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selected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from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56C6915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EDUM1A_W04</w:t>
            </w:r>
          </w:p>
        </w:tc>
      </w:tr>
      <w:tr w:rsidR="00524F20" w14:paraId="4465B4EE" w14:textId="77777777">
        <w:trPr>
          <w:trHeight w:val="57"/>
        </w:trPr>
        <w:tc>
          <w:tcPr>
            <w:tcW w:w="726" w:type="dxa"/>
          </w:tcPr>
          <w:p w14:paraId="5A458BC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W04</w:t>
            </w:r>
          </w:p>
        </w:tc>
        <w:tc>
          <w:tcPr>
            <w:tcW w:w="7511" w:type="dxa"/>
          </w:tcPr>
          <w:p w14:paraId="3910C72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styles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recreational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traditions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music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53B43BC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EDUM1A_W05</w:t>
            </w:r>
          </w:p>
        </w:tc>
      </w:tr>
      <w:tr w:rsidR="00524F20" w14:paraId="60DFA025" w14:textId="77777777">
        <w:trPr>
          <w:trHeight w:val="57"/>
        </w:trPr>
        <w:tc>
          <w:tcPr>
            <w:tcW w:w="726" w:type="dxa"/>
          </w:tcPr>
          <w:p w14:paraId="0CDAE96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W05</w:t>
            </w:r>
          </w:p>
        </w:tc>
        <w:tc>
          <w:tcPr>
            <w:tcW w:w="7511" w:type="dxa"/>
          </w:tcPr>
          <w:p w14:paraId="4539C1B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connections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dependencies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between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theoretical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aspects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playing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music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band</w:t>
            </w:r>
          </w:p>
        </w:tc>
        <w:tc>
          <w:tcPr>
            <w:tcW w:w="1701" w:type="dxa"/>
          </w:tcPr>
          <w:p w14:paraId="53C8FEB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EDUM1A_W08</w:t>
            </w:r>
          </w:p>
        </w:tc>
      </w:tr>
      <w:tr w:rsidR="00524F20" w14:paraId="0C2A8A29" w14:textId="77777777">
        <w:trPr>
          <w:trHeight w:val="57"/>
        </w:trPr>
        <w:tc>
          <w:tcPr>
            <w:tcW w:w="8237" w:type="dxa"/>
            <w:gridSpan w:val="2"/>
          </w:tcPr>
          <w:p w14:paraId="7E0F8F1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ABILITIES:</w:t>
            </w:r>
          </w:p>
        </w:tc>
        <w:tc>
          <w:tcPr>
            <w:tcW w:w="1701" w:type="dxa"/>
          </w:tcPr>
          <w:p w14:paraId="35F17BE3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3848B7E1" w14:textId="77777777">
        <w:trPr>
          <w:trHeight w:val="70"/>
        </w:trPr>
        <w:tc>
          <w:tcPr>
            <w:tcW w:w="726" w:type="dxa"/>
          </w:tcPr>
          <w:p w14:paraId="5703007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U01</w:t>
            </w:r>
          </w:p>
        </w:tc>
        <w:tc>
          <w:tcPr>
            <w:tcW w:w="7511" w:type="dxa"/>
          </w:tcPr>
          <w:p w14:paraId="2934B5B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implement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concepts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playing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662BC59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EDUM1A_W01</w:t>
            </w:r>
          </w:p>
        </w:tc>
      </w:tr>
      <w:tr w:rsidR="00524F20" w14:paraId="0EE7BEF9" w14:textId="77777777">
        <w:trPr>
          <w:trHeight w:val="70"/>
        </w:trPr>
        <w:tc>
          <w:tcPr>
            <w:tcW w:w="726" w:type="dxa"/>
          </w:tcPr>
          <w:p w14:paraId="58C3142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U02</w:t>
            </w:r>
          </w:p>
        </w:tc>
        <w:tc>
          <w:tcPr>
            <w:tcW w:w="7511" w:type="dxa"/>
          </w:tcPr>
          <w:p w14:paraId="4EE8AE6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needed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express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concepts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playing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4F76780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EDUM1A_W02</w:t>
            </w:r>
          </w:p>
        </w:tc>
      </w:tr>
      <w:tr w:rsidR="00524F20" w14:paraId="6E03FAB9" w14:textId="77777777">
        <w:trPr>
          <w:trHeight w:val="57"/>
        </w:trPr>
        <w:tc>
          <w:tcPr>
            <w:tcW w:w="726" w:type="dxa"/>
          </w:tcPr>
          <w:p w14:paraId="6B9617C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U03</w:t>
            </w:r>
          </w:p>
        </w:tc>
        <w:tc>
          <w:tcPr>
            <w:tcW w:w="7511" w:type="dxa"/>
          </w:tcPr>
          <w:p w14:paraId="781BAF9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perform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pieces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part)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intended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592B525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EDUM1A_W04</w:t>
            </w:r>
          </w:p>
        </w:tc>
      </w:tr>
      <w:tr w:rsidR="00524F20" w14:paraId="22B7A3D8" w14:textId="77777777">
        <w:trPr>
          <w:trHeight w:val="57"/>
        </w:trPr>
        <w:tc>
          <w:tcPr>
            <w:tcW w:w="726" w:type="dxa"/>
          </w:tcPr>
          <w:p w14:paraId="29B680D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U04</w:t>
            </w:r>
          </w:p>
        </w:tc>
        <w:tc>
          <w:tcPr>
            <w:tcW w:w="7511" w:type="dxa"/>
          </w:tcPr>
          <w:p w14:paraId="5979BF3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in 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interpret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pieces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representing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various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styles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a band,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convey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musical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entirety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material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form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ideas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contained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1701" w:type="dxa"/>
          </w:tcPr>
          <w:p w14:paraId="2EA8F47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EDUM1A_W05</w:t>
            </w:r>
          </w:p>
        </w:tc>
      </w:tr>
      <w:tr w:rsidR="00524F20" w14:paraId="3EF9260B" w14:textId="77777777">
        <w:trPr>
          <w:trHeight w:val="57"/>
        </w:trPr>
        <w:tc>
          <w:tcPr>
            <w:tcW w:w="726" w:type="dxa"/>
          </w:tcPr>
          <w:p w14:paraId="7A155FC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U05</w:t>
            </w:r>
          </w:p>
        </w:tc>
        <w:tc>
          <w:tcPr>
            <w:tcW w:w="7511" w:type="dxa"/>
          </w:tcPr>
          <w:p w14:paraId="2108F62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perform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pieces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based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stylistically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diverse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concepts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resulting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from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independent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imagination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intuition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emotionality</w:t>
            </w:r>
            <w:proofErr w:type="spellEnd"/>
          </w:p>
        </w:tc>
        <w:tc>
          <w:tcPr>
            <w:tcW w:w="1701" w:type="dxa"/>
          </w:tcPr>
          <w:p w14:paraId="6FD7A59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EDUM1A_W08</w:t>
            </w:r>
          </w:p>
        </w:tc>
      </w:tr>
      <w:tr w:rsidR="00524F20" w14:paraId="66E37FDB" w14:textId="77777777">
        <w:trPr>
          <w:trHeight w:val="57"/>
        </w:trPr>
        <w:tc>
          <w:tcPr>
            <w:tcW w:w="726" w:type="dxa"/>
          </w:tcPr>
          <w:p w14:paraId="77353BD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U06</w:t>
            </w:r>
          </w:p>
        </w:tc>
        <w:tc>
          <w:tcPr>
            <w:tcW w:w="7511" w:type="dxa"/>
          </w:tcPr>
          <w:p w14:paraId="5045FB7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in 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basic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interpret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pieces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representing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various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styles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a band,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convey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plan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organize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individual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interact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people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27CC624A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524F20" w14:paraId="776F023A" w14:textId="77777777">
        <w:trPr>
          <w:trHeight w:val="57"/>
        </w:trPr>
        <w:tc>
          <w:tcPr>
            <w:tcW w:w="726" w:type="dxa"/>
          </w:tcPr>
          <w:p w14:paraId="40ACDFA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U07</w:t>
            </w:r>
          </w:p>
        </w:tc>
        <w:tc>
          <w:tcPr>
            <w:tcW w:w="7511" w:type="dxa"/>
          </w:tcPr>
          <w:p w14:paraId="430C12F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workshop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enabling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implementation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concepts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while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ensemble</w:t>
            </w:r>
          </w:p>
        </w:tc>
        <w:tc>
          <w:tcPr>
            <w:tcW w:w="1701" w:type="dxa"/>
          </w:tcPr>
          <w:p w14:paraId="41410BD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EDUM1A_U01</w:t>
            </w:r>
          </w:p>
        </w:tc>
      </w:tr>
      <w:tr w:rsidR="00524F20" w14:paraId="595DD22A" w14:textId="77777777">
        <w:trPr>
          <w:trHeight w:val="57"/>
        </w:trPr>
        <w:tc>
          <w:tcPr>
            <w:tcW w:w="726" w:type="dxa"/>
          </w:tcPr>
          <w:p w14:paraId="78B558D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U08</w:t>
            </w:r>
          </w:p>
        </w:tc>
        <w:tc>
          <w:tcPr>
            <w:tcW w:w="7511" w:type="dxa"/>
          </w:tcPr>
          <w:p w14:paraId="601E0DF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effective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techniques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workshop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enabling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their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development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through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inde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pendent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</w:p>
          <w:p w14:paraId="7C0B93A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D3BD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EDUM1A_U02</w:t>
            </w:r>
          </w:p>
        </w:tc>
      </w:tr>
      <w:tr w:rsidR="00524F20" w14:paraId="38576C34" w14:textId="77777777">
        <w:trPr>
          <w:trHeight w:val="57"/>
        </w:trPr>
        <w:tc>
          <w:tcPr>
            <w:tcW w:w="8237" w:type="dxa"/>
            <w:gridSpan w:val="2"/>
          </w:tcPr>
          <w:p w14:paraId="7F54896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within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SOCIAL COMPETENCE:</w:t>
            </w:r>
          </w:p>
        </w:tc>
        <w:tc>
          <w:tcPr>
            <w:tcW w:w="1701" w:type="dxa"/>
          </w:tcPr>
          <w:p w14:paraId="6927D65C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524F20" w14:paraId="1A8A5C60" w14:textId="77777777">
        <w:trPr>
          <w:trHeight w:val="57"/>
        </w:trPr>
        <w:tc>
          <w:tcPr>
            <w:tcW w:w="726" w:type="dxa"/>
          </w:tcPr>
          <w:p w14:paraId="0CDEC62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K01</w:t>
            </w:r>
          </w:p>
        </w:tc>
        <w:tc>
          <w:tcPr>
            <w:tcW w:w="7511" w:type="dxa"/>
          </w:tcPr>
          <w:p w14:paraId="5963C58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ready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independently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testing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ability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analyze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interpret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trying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motivate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</w:p>
          <w:p w14:paraId="639D3783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677F4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EDUM1A_K01</w:t>
            </w:r>
          </w:p>
        </w:tc>
      </w:tr>
      <w:tr w:rsidR="00524F20" w14:paraId="69DD8B36" w14:textId="77777777">
        <w:trPr>
          <w:trHeight w:val="57"/>
        </w:trPr>
        <w:tc>
          <w:tcPr>
            <w:tcW w:w="726" w:type="dxa"/>
          </w:tcPr>
          <w:p w14:paraId="49068E5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K02</w:t>
            </w:r>
          </w:p>
        </w:tc>
        <w:tc>
          <w:tcPr>
            <w:tcW w:w="7511" w:type="dxa"/>
          </w:tcPr>
          <w:p w14:paraId="1B8F73A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ready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produce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imaginative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capture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creativity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creative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image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publishing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  <w:p w14:paraId="6955860B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437C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EDUM1A_K02</w:t>
            </w:r>
          </w:p>
        </w:tc>
      </w:tr>
      <w:tr w:rsidR="00524F20" w14:paraId="72B88072" w14:textId="77777777">
        <w:trPr>
          <w:trHeight w:val="57"/>
        </w:trPr>
        <w:tc>
          <w:tcPr>
            <w:tcW w:w="726" w:type="dxa"/>
          </w:tcPr>
          <w:p w14:paraId="73328B5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K03</w:t>
            </w:r>
          </w:p>
        </w:tc>
        <w:tc>
          <w:tcPr>
            <w:tcW w:w="7511" w:type="dxa"/>
          </w:tcPr>
          <w:p w14:paraId="7518FBB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ready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adapt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distributors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regulate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controlled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expenditure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additional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disposition</w:t>
            </w:r>
            <w:proofErr w:type="spellEnd"/>
          </w:p>
          <w:p w14:paraId="5A7EB88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B2EA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EDUM1A_K03</w:t>
            </w:r>
          </w:p>
        </w:tc>
      </w:tr>
      <w:tr w:rsidR="00524F20" w14:paraId="2CF831C2" w14:textId="77777777">
        <w:trPr>
          <w:trHeight w:val="57"/>
        </w:trPr>
        <w:tc>
          <w:tcPr>
            <w:tcW w:w="726" w:type="dxa"/>
          </w:tcPr>
          <w:p w14:paraId="2B248AD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K04</w:t>
            </w:r>
          </w:p>
        </w:tc>
        <w:tc>
          <w:tcPr>
            <w:tcW w:w="7511" w:type="dxa"/>
          </w:tcPr>
          <w:p w14:paraId="33EEB2C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ready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knowledge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content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knowledge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knowledge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solutions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solutions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gaining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expert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opinion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technique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independent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approach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solution</w:t>
            </w:r>
            <w:proofErr w:type="spellEnd"/>
          </w:p>
          <w:p w14:paraId="674CFB8B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5AE46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EDUM1A_K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</w:t>
            </w:r>
          </w:p>
        </w:tc>
      </w:tr>
    </w:tbl>
    <w:p w14:paraId="4899B51F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tbl>
      <w:tblPr>
        <w:tblStyle w:val="a5"/>
        <w:tblW w:w="996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27"/>
      </w:tblGrid>
      <w:tr w:rsidR="00524F20" w14:paraId="0D5FB099" w14:textId="77777777">
        <w:trPr>
          <w:trHeight w:val="70"/>
        </w:trPr>
        <w:tc>
          <w:tcPr>
            <w:tcW w:w="99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15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4.4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intended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</w:tr>
      <w:tr w:rsidR="00524F20" w14:paraId="74CE8C5B" w14:textId="77777777">
        <w:trPr>
          <w:cantSplit/>
          <w:trHeight w:val="70"/>
        </w:trPr>
        <w:tc>
          <w:tcPr>
            <w:tcW w:w="1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696D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Teaching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  <w:p w14:paraId="36D5142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outcomes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  <w:p w14:paraId="27735E3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0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88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Method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(+/-) </w:t>
            </w:r>
          </w:p>
        </w:tc>
      </w:tr>
      <w:tr w:rsidR="00524F20" w14:paraId="4856ACE2" w14:textId="77777777">
        <w:trPr>
          <w:cantSplit/>
          <w:trHeight w:val="284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B63B0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5C2EA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3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Exam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oral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written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979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Test (10%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F2F2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1C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Effort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(10%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0A3D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Self-study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(20%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EFD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(10%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93775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presentation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(50%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F20" w14:paraId="6FD24618" w14:textId="77777777">
        <w:trPr>
          <w:cantSplit/>
          <w:trHeight w:val="284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3373D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DAF08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754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82503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B1B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49870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F19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C87C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</w:tr>
      <w:tr w:rsidR="00524F20" w14:paraId="0CFED9EB" w14:textId="77777777">
        <w:trPr>
          <w:cantSplit/>
          <w:trHeight w:val="284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7EE44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6DCA81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A29E1F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CE5F2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F252B6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FFF6FF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B37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5CEBAA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6DCB41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F60BD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930C1D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6E2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B87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E1089F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8F06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B003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CC55B8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765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124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8C3988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BFE96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A1D9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...</w:t>
            </w:r>
          </w:p>
        </w:tc>
      </w:tr>
      <w:tr w:rsidR="00524F20" w14:paraId="31597F60" w14:textId="77777777">
        <w:trPr>
          <w:trHeight w:val="28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C39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W01-W07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A2E7309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30011C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B72CF9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2454E4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7D9FE4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7C07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78C1141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7EB610" w14:textId="77777777" w:rsidR="00524F20" w:rsidRDefault="009A06C1">
            <w:pPr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B80A5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D2304F2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8AF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D68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022D65C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659EC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465B0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2DD833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C60A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393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795973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68A8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9A271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524F20" w14:paraId="5AF5CC22" w14:textId="77777777">
        <w:trPr>
          <w:trHeight w:val="28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53C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U01-U08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033B5B8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ACF09F2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BD41E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E97506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F5674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B8A3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A1FF98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7B40E8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9F09A5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D41D149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CF4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0CD7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CDB633A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AA11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82638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330A455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18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166C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CB80EDE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1F281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53266C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524F20" w14:paraId="1C88F330" w14:textId="77777777">
        <w:trPr>
          <w:trHeight w:val="28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187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K01-K04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2A80DC2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424895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6B656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47DDD5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BA0C26B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7A15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10B512B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A35BAC8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4B7488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BC25222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BC30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757A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F247C59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C3308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2AA9B3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BBD2A71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18E7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2676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29A8730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40FBE6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CA0F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4CE633C8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65D541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570381F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D25CC76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E21A47C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BAFE5D1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76104250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68CCEA86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84E1370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64C73B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E005759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E23D4B0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FA3383C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3B11689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5BBA5D36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1796B97C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C568DDC" w14:textId="77777777" w:rsidR="009A06C1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6F8CF328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0D593541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325CAB7F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282BF969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tbl>
      <w:tblPr>
        <w:tblStyle w:val="a6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24F20" w14:paraId="77D81C34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58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4.5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Criteria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intended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</w:tr>
      <w:tr w:rsidR="00524F20" w14:paraId="71E2DAF3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C0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B89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EEC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Criterion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assessment</w:t>
            </w:r>
            <w:proofErr w:type="spellEnd"/>
          </w:p>
        </w:tc>
      </w:tr>
      <w:tr w:rsidR="00524F20" w14:paraId="5B725C00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67EF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(C) 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5F6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1F6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51-60%</w:t>
            </w:r>
          </w:p>
        </w:tc>
      </w:tr>
      <w:tr w:rsidR="00524F20" w14:paraId="0F35E527" w14:textId="77777777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06502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E4F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03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61-70%</w:t>
            </w:r>
          </w:p>
        </w:tc>
      </w:tr>
      <w:tr w:rsidR="00524F20" w14:paraId="59BC410D" w14:textId="77777777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4CDBB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3A2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A8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71-80%</w:t>
            </w:r>
          </w:p>
        </w:tc>
      </w:tr>
      <w:tr w:rsidR="00524F20" w14:paraId="0C209469" w14:textId="77777777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8848A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C6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A79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81-90%</w:t>
            </w:r>
          </w:p>
        </w:tc>
      </w:tr>
      <w:tr w:rsidR="00524F20" w14:paraId="688F7289" w14:textId="77777777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A4A19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5A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EE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91-100%</w:t>
            </w:r>
          </w:p>
        </w:tc>
      </w:tr>
    </w:tbl>
    <w:p w14:paraId="6229CF34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p w14:paraId="78FEEB22" w14:textId="77777777" w:rsidR="00524F20" w:rsidRDefault="009A0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BALANCE OF ECTS CREDITS – STUDENTS’S WORK INPUT</w:t>
      </w: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524F20" w14:paraId="350A8EA4" w14:textId="77777777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711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1F7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Students’s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workload</w:t>
            </w:r>
            <w:proofErr w:type="spellEnd"/>
          </w:p>
        </w:tc>
      </w:tr>
      <w:tr w:rsidR="00524F20" w14:paraId="75328A79" w14:textId="77777777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F9D3" w14:textId="77777777" w:rsidR="00524F20" w:rsidRDefault="0052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21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Full-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908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Extramural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524F20" w14:paraId="11F5F3B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74A9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NUMBER OF HOURS WITH THE DIRECT PARTICIPATION OF THE TEACHER /CONTACT HOURS/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F5DF8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8CC888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5D66938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1D2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Participation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lectures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5C2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3A5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0E37FF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F11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Participation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seminars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laboratories*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CE4A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DC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4B3C176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50D4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Participation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9680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A344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3CABF0F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CBD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Others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pleas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specify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2B7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095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45E1793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479503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INDEPENDENT WORK OF THE STUDENT/NON-CONTACT HOURS/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2C5BC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CA746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08865EF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802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lectures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8B5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430F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50616AF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966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artistic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presentation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CC3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DE36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43DD4F0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1FF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concert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25A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8071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1E55891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D9E6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Gathering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materials for the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/Internet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query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*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6E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78AE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12BB973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4E69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the multimedia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presentation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F32E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E7CE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2233E2A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CAFD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Others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pleas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specify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1EDC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9452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160EA9C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8C25B2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 NUMBER OF HOURS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8EFA81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2CDC5D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4F20" w14:paraId="7A250A05" w14:textId="77777777">
        <w:trPr>
          <w:trHeight w:val="4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94613B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credits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62ECC7" w14:textId="77777777" w:rsidR="00524F20" w:rsidRDefault="009A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2247B0" w14:textId="77777777" w:rsidR="00524F20" w:rsidRDefault="0052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9FE4EFC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3" w:hanging="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*</w:t>
      </w:r>
      <w:proofErr w:type="spellStart"/>
      <w:r>
        <w:rPr>
          <w:rFonts w:eastAsia="Times New Roman" w:cs="Times New Roman"/>
          <w:b/>
          <w:color w:val="000000"/>
          <w:sz w:val="18"/>
          <w:szCs w:val="18"/>
        </w:rPr>
        <w:t>delete</w:t>
      </w:r>
      <w:proofErr w:type="spellEnd"/>
      <w:r>
        <w:rPr>
          <w:rFonts w:eastAsia="Times New Roman" w:cs="Times New Roman"/>
          <w:b/>
          <w:color w:val="000000"/>
          <w:sz w:val="18"/>
          <w:szCs w:val="18"/>
        </w:rPr>
        <w:t xml:space="preserve"> as </w:t>
      </w:r>
      <w:proofErr w:type="spellStart"/>
      <w:r>
        <w:rPr>
          <w:rFonts w:eastAsia="Times New Roman" w:cs="Times New Roman"/>
          <w:b/>
          <w:color w:val="000000"/>
          <w:sz w:val="18"/>
          <w:szCs w:val="18"/>
        </w:rPr>
        <w:t>appropriate</w:t>
      </w:r>
      <w:proofErr w:type="spellEnd"/>
    </w:p>
    <w:p w14:paraId="2C290C6A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3DCE0384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proofErr w:type="spellStart"/>
      <w:r>
        <w:rPr>
          <w:rFonts w:eastAsia="Times New Roman" w:cs="Times New Roman"/>
          <w:b/>
          <w:i/>
          <w:color w:val="000000"/>
          <w:sz w:val="18"/>
          <w:szCs w:val="18"/>
        </w:rPr>
        <w:t>Accepted</w:t>
      </w:r>
      <w:proofErr w:type="spellEnd"/>
      <w:r>
        <w:rPr>
          <w:rFonts w:eastAsia="Times New Roman" w:cs="Times New Roman"/>
          <w:b/>
          <w:i/>
          <w:color w:val="000000"/>
          <w:sz w:val="18"/>
          <w:szCs w:val="18"/>
        </w:rPr>
        <w:t xml:space="preserve"> for </w:t>
      </w:r>
      <w:proofErr w:type="spellStart"/>
      <w:r>
        <w:rPr>
          <w:rFonts w:eastAsia="Times New Roman" w:cs="Times New Roman"/>
          <w:b/>
          <w:i/>
          <w:color w:val="000000"/>
          <w:sz w:val="18"/>
          <w:szCs w:val="18"/>
        </w:rPr>
        <w:t>execution</w:t>
      </w:r>
      <w:proofErr w:type="spellEnd"/>
      <w:r>
        <w:rPr>
          <w:rFonts w:eastAsia="Times New Roman" w:cs="Times New Roman"/>
          <w:b/>
          <w:i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i/>
          <w:color w:val="000000"/>
          <w:sz w:val="18"/>
          <w:szCs w:val="18"/>
        </w:rPr>
        <w:t>(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date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and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legible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signatures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of the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teachers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running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the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course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in the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given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academic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year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>) </w:t>
      </w:r>
    </w:p>
    <w:p w14:paraId="2369C3F5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2B8F6226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36B524F8" w14:textId="77777777" w:rsidR="00524F20" w:rsidRDefault="009A06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20" w:hanging="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             ............................................................................................................................</w:t>
      </w:r>
    </w:p>
    <w:p w14:paraId="5E581DC7" w14:textId="77777777" w:rsidR="00524F20" w:rsidRDefault="00524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</w:p>
    <w:sectPr w:rsidR="00524F20">
      <w:pgSz w:w="11906" w:h="16838"/>
      <w:pgMar w:top="568" w:right="1418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40C0"/>
    <w:multiLevelType w:val="multilevel"/>
    <w:tmpl w:val="6B8C41D8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1">
    <w:nsid w:val="152E3F26"/>
    <w:multiLevelType w:val="multilevel"/>
    <w:tmpl w:val="A0E87A8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0C33A1"/>
    <w:multiLevelType w:val="multilevel"/>
    <w:tmpl w:val="D282522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0"/>
    <w:rsid w:val="00524F20"/>
    <w:rsid w:val="009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71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character" w:customStyle="1" w:styleId="5yl5">
    <w:name w:val="_5yl5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Bodytext30">
    <w:name w:val="Body text (3)"/>
    <w:basedOn w:val="Normalny"/>
    <w:pPr>
      <w:shd w:val="clear" w:color="auto" w:fill="FFFFFF"/>
      <w:spacing w:before="120" w:line="293" w:lineRule="atLeast"/>
      <w:ind w:hanging="420"/>
      <w:jc w:val="both"/>
    </w:pPr>
    <w:rPr>
      <w:sz w:val="21"/>
      <w:szCs w:val="21"/>
    </w:rPr>
  </w:style>
  <w:style w:type="character" w:customStyle="1" w:styleId="Hyperlink0">
    <w:name w:val="Hyperlink.0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paragraph" w:customStyle="1" w:styleId="p1">
    <w:name w:val="p1"/>
    <w:basedOn w:val="Normalny"/>
    <w:rPr>
      <w:sz w:val="18"/>
      <w:szCs w:val="18"/>
    </w:rPr>
  </w:style>
  <w:style w:type="paragraph" w:customStyle="1" w:styleId="p2">
    <w:name w:val="p2"/>
    <w:basedOn w:val="Normalny"/>
    <w:rPr>
      <w:sz w:val="17"/>
      <w:szCs w:val="17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Times New Roman" w:hAnsi="Times New Roman" w:cs="Times New Roman" w:hint="default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thjX316SJZbY36ruiqRDV5sdg==">AMUW2mV1aelkTntpctEN7dczDqhb6ts3CnojiPuoOKR4bJnLHAZND3j4sE6HkqoPWsFKcDjsfGYrhhzzzWwUTK4Ve2sx3KyOB4rqc3R+ARQOdR6rgE2cJKk=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5981</Characters>
  <Application>Microsoft Macintosh Word</Application>
  <DocSecurity>0</DocSecurity>
  <Lines>49</Lines>
  <Paragraphs>13</Paragraphs>
  <ScaleCrop>false</ScaleCrop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qavior</dc:creator>
  <cp:lastModifiedBy>Wojciech Lipiński</cp:lastModifiedBy>
  <cp:revision>2</cp:revision>
  <dcterms:created xsi:type="dcterms:W3CDTF">2022-09-05T15:22:00Z</dcterms:created>
  <dcterms:modified xsi:type="dcterms:W3CDTF">2022-09-05T15:22:00Z</dcterms:modified>
</cp:coreProperties>
</file>